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5C" w:rsidRDefault="009D285C" w:rsidP="009D28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9D285C" w:rsidRDefault="009D285C" w:rsidP="009D28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9D285C" w:rsidRDefault="009D285C" w:rsidP="009D285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9D285C" w:rsidRDefault="009D285C" w:rsidP="009D285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за 12 месяцев 2022 года</w:t>
      </w:r>
    </w:p>
    <w:p w:rsidR="009D285C" w:rsidRDefault="009D285C" w:rsidP="009D285C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85C" w:rsidRDefault="009D285C" w:rsidP="009D285C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-648335</wp:posOffset>
            </wp:positionH>
            <wp:positionV relativeFrom="paragraph">
              <wp:posOffset>216535</wp:posOffset>
            </wp:positionV>
            <wp:extent cx="2736850" cy="3420110"/>
            <wp:effectExtent l="0" t="0" r="25400" b="27940"/>
            <wp:wrapTight wrapText="bothSides">
              <wp:wrapPolygon edited="0">
                <wp:start x="0" y="0"/>
                <wp:lineTo x="0" y="21656"/>
                <wp:lineTo x="21650" y="21656"/>
                <wp:lineTo x="21650" y="0"/>
                <wp:lineTo x="0" y="0"/>
              </wp:wrapPolygon>
            </wp:wrapTight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85C" w:rsidRDefault="009D285C" w:rsidP="009D285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двенадцать месяцев 2022 г. зарегистрировано 318 (348; -8,6%) ДТП с участием несовершеннолетних, в которых 353 (363; -2,8 %) ребенка получили травмы различной степени тяжести и 13 (23; -43,5%) погибли.</w:t>
      </w:r>
    </w:p>
    <w:p w:rsidR="009D285C" w:rsidRDefault="009D285C" w:rsidP="009D285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Дорожно-транспортные происшествия,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 которых пострадали дети, составили 12%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9D285C" w:rsidRDefault="009D285C" w:rsidP="009D285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 ДТП с погибшими детьми зарегистрированы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Каменске-Уральском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(-33,3%), Серове (уровень АППГ) и Сысерти (+100%), по 1 ДТП в Нижнем Тагиле, Нижних Сергах, Верхотурье, Ревде, Шале (+100%), Талице (уровень АППГ) и Екатеринбурге (-85,7%):</w:t>
      </w:r>
    </w:p>
    <w:p w:rsidR="009D285C" w:rsidRDefault="009D285C" w:rsidP="009D285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5C" w:rsidRDefault="009D285C" w:rsidP="009D285C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7 января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10 часов на 5 км соединительных автодорог «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Екатеринбург-Нижний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Тагил-Серов» и «Серов-Североуральск-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Ивдель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снежному вихрю, образовавшемуся впереди из-за грузового автомобиля и выехал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на встречную полосу. </w:t>
      </w:r>
    </w:p>
    <w:p w:rsidR="009D285C" w:rsidRDefault="009D285C" w:rsidP="009D285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28 января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9D285C" w:rsidRDefault="009D285C" w:rsidP="009D285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15 февраля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результате ДТП на месте происшествия погибла 10-летняя девочка, пассажир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Ее сестра ровесница-близнец, а также мать - водитель автомашины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9D285C" w:rsidRDefault="009D285C" w:rsidP="009D285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22 марта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08 часов 30 минут на 6 км автодороги «Талица-Тугулым» (зона обслуживания ОГИБДД ОМВД России по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«Рено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обеспечивающую постоянный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9D285C" w:rsidRDefault="009D285C" w:rsidP="009D285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25 марта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9D285C" w:rsidRDefault="009D285C" w:rsidP="009D285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25 апреля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Несовершеннолетний водитель получил травмы,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несовместимые с жизнью, скончался на месте происшествия до прибытия бригады скорой медицинской помощи. Известно, что </w:t>
      </w:r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автомобиля «Дэу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9D285C" w:rsidRDefault="009D285C" w:rsidP="009D285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21 мая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«Мерседес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Бенц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выбрал скорость, не обеспечивающую постоянный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Бенц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вместе со своими детьми возвращался домой в Екатеринбург.</w:t>
      </w:r>
    </w:p>
    <w:p w:rsidR="009D285C" w:rsidRDefault="009D285C" w:rsidP="009D285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16 июня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Рио»,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9D285C" w:rsidRDefault="009D285C" w:rsidP="009D285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29 июня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30 минут в Серове на проспекте Седова водитель автомобиля «Дэу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9D285C" w:rsidRDefault="009D285C" w:rsidP="009D285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7 июля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</w:t>
      </w:r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Седельниково к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Киа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Рио» при проезде нерегулируемого перекрестка неравнозначных дорог не уступил дорогу автомобилю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9D285C" w:rsidRDefault="009D285C" w:rsidP="009D285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>26 июля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13 часов на 17-м км автодороги «с.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9D285C" w:rsidRDefault="009D285C" w:rsidP="009D285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16 сентября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15 часов в поселке Староуткинск (территория обслуживания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:rsidR="009D285C" w:rsidRDefault="009D285C" w:rsidP="009D285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8 ноября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19 часов на 238 км автодороги Пермь-Екатеринбург (территория обслуживания МО МВД России «Нижнесергинский») водитель автомобиля «Тойота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Камри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при совершении маневра обгон, не убедился в том, что встречная полоса свободна на достаточном для обгона расстоянии и допустил столкновение с грузовым автомобилем «Мерседес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Бенц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в составе с полуприцепом, двигающимся навстречу.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результате аварии погибли водитель иномарки и его 11-летний сын, который находился сзади слева и был пристегнут ремнем безопасности. Установлено, что отец с сыном направлялись с тренировки по хоккею из Екатеринбурга в Красноуфимск.</w:t>
      </w:r>
    </w:p>
    <w:p w:rsidR="009D285C" w:rsidRDefault="009D285C" w:rsidP="009D285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 районах и муниципальных образованиях Свердловской области отмечается рост аварийности с участием несовершеннолетних:</w:t>
      </w:r>
    </w:p>
    <w:p w:rsidR="009D285C" w:rsidRDefault="009D285C" w:rsidP="009D285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477635" cy="3688080"/>
            <wp:effectExtent l="0" t="0" r="18415" b="2667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48% (177) пострадавших и погибших в ДТП детей приходится на среднее школьное звено, 32% (118) на начальную школу и 20% (71) на дошкольный возраст, при этом большая часть пострадали и погибли в качестве пассажиров транспортных средств. Наибольшее количество погибших – дети в возрасте 11-12 лет (5).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285C" w:rsidRDefault="009D285C" w:rsidP="009D28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35300" cy="2259330"/>
            <wp:effectExtent l="0" t="0" r="12700" b="2667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27680" cy="2259330"/>
            <wp:effectExtent l="0" t="0" r="20320" b="2667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15% (227), раненых на 8,7% (261), погибших на 27,8% (13).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285C" w:rsidRDefault="009D285C" w:rsidP="009D285C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77610" cy="1667510"/>
            <wp:effectExtent l="0" t="0" r="27940" b="2794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64% (206) ДТП произошли при ясной погоде и 36% (112)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5C" w:rsidRDefault="009D285C" w:rsidP="009D285C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4470" cy="2550795"/>
            <wp:effectExtent l="0" t="0" r="17780" b="2095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Высокие показатели количества ДТП зафиксированы в августе (43 ДТП, 47 ранены) и июле (42 ДТП, 50 ранены, 2 погибли). Рост дорожных аварий в эти месяцы связан с пиковым периодом отпусков, многие взрослые вместе с детьми торопятся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место проведения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отдыха и совершают опасные маневры, также в летний период не все дети организованы должным образом находясь на каникулах и проводят свой досуг на улицах без контроля со стороны законных представителей.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285C" w:rsidRDefault="009D285C" w:rsidP="009D28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31890" cy="1836420"/>
            <wp:effectExtent l="0" t="0" r="16510" b="1143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285C" w:rsidRDefault="009D285C" w:rsidP="009D285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55% (175) происшествий с участием несовершеннолетних произошли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с 13 до 19 ч. (7 погибли, 192 ранены), такая тенденция связана с активным пребыванием детей в это время на улице и интенсивностью транспорта. При этом пик ДТП приходится на период с 18 до 19 ч. (38 ДТП, 1 погиб, 43 ранены). На 200% произошел рост количества ДТП в период с 23 до 00 часов (6). Наибольшая тяжесть последствий зафиксирована в период с 15 до 17 часов, в этот период погибли 5 детей.</w:t>
      </w:r>
    </w:p>
    <w:p w:rsidR="009D285C" w:rsidRDefault="009D285C" w:rsidP="009D28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08700" cy="1644650"/>
            <wp:effectExtent l="0" t="0" r="25400" b="1270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285C" w:rsidRDefault="009D285C" w:rsidP="009D28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285C" w:rsidRDefault="009D285C" w:rsidP="009D28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31560" cy="1920875"/>
            <wp:effectExtent l="0" t="0" r="21590" b="222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дорогах, расположенных в черте населенных пунктов, зарегистрировано 256 ДТП (-9 %), в которых пострадали 277 (-5%) детей и 3 погибли (-75%). Из них зарегистрировано 24 ДТП (+4,3%) на дорогах федерального значения, в которых пострадали 32 ребенка (+10%) и 4 погибли (+33,3%). На автомобильных дорогах регионального значения произошло 53 ДТП (-7%), в которых 64 (+14%) ребенка получили травмы различной степени тяжести и 5 несовершеннолетних погибли (-50%). На дорогах местного значения зарегистрировано 212 ДТП (-9%), в которых травмированы 227 (-6,6%) детей и 4 погибли (-60%).</w:t>
      </w:r>
    </w:p>
    <w:p w:rsidR="009D285C" w:rsidRDefault="009D285C" w:rsidP="009D285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62065" cy="1867535"/>
            <wp:effectExtent l="0" t="0" r="19685" b="1841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2000250" cy="2030730"/>
            <wp:effectExtent l="0" t="0" r="0" b="7620"/>
            <wp:wrapSquare wrapText="bothSides"/>
            <wp:docPr id="35" name="Рисунок 35" descr="Описание: http://10.192.201.12:7777/pls/mchs/service.download?bobj=emergency_document&amp;doc_id=60738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10.192.201.12:7777/pls/mchs/service.download?bobj=emergency_document&amp;doc_id=6073810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2" b="25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145 (159; -8,8%) ДТП, в которых пострадали 173 (176; -1,7%) ребенка и 9 (16; -43,8%) погибли.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возрасте до 12 лет травмированы 107 детей (-15,7%) и 8 погибли (-43%). </w:t>
      </w:r>
      <w:proofErr w:type="gramEnd"/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45% от общего показателя аварийности с участием детей.</w:t>
      </w:r>
    </w:p>
    <w:p w:rsidR="009D285C" w:rsidRDefault="009D285C" w:rsidP="009D285C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126230" cy="1398270"/>
            <wp:effectExtent l="0" t="0" r="2667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25 случаях водители перевозили юных пассажиров в возрасте до 12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нарушением правил перевозки детей, в этих авариях травмированы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 несовершеннолетних (21; +33,3%) и 4 погибли (5; -20%). Четверо детей перевозились на руках, шестеро - в детских удерживающих устройствах, не закрепленных к конструкции автомобиля ремнями безопасности, семь детей перевозились в устройствах, не соответствующих росту и весу ребенка, еще семь - без детского удерживающего устройства и восемь юных пассажиров не были пристегнуты ремнем безопасности. При этом в половине случаев нарушения перевозки детей допустили отцы несовершеннолетних.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происшествий, в которых пострадали дети-пассажиры - это столкновения транспортных средств (122; -7%), в этих авариях травмированы 144 ребенка (-2,7%) и 9 погибли (- 35,7%).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рост количества ДТП с участием детей-пассажиров зарегистрирован с 7 до 8 часов (6 ДТП, 8 ранены и 1 погиб), с 15 до 19 часов (52 ДТП, 65 ранены, 4 погибли) и с 20 до 00 часов (28 ДТП, 36 ранены). На 20% увеличилось количество аварий в среду (18 ДТП, 23 ранены), и на 5% в понедельник (21 ДТП, 26 ранены). При этом максимальное количество ДТП с участием детей зарегистрировано в воскресенье (25 ДТП, уровень АППГ; 30 ранены, +15%). По тяжести последствий самым аварийным днем стал четверг, в этот день погибли 4 ребенка, еще по 2 ребенка погибли в четверг и пятницу, 1 в субботу.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5C" w:rsidRDefault="009D285C" w:rsidP="009D285C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6370" cy="2012950"/>
            <wp:effectExtent l="0" t="0" r="17780" b="254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Высокие показатели количества ДТП зафиксированы в августе (23 ДТП), марте и июле (по 17 ДТП, 3 погибли).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4652645</wp:posOffset>
            </wp:positionH>
            <wp:positionV relativeFrom="paragraph">
              <wp:posOffset>114300</wp:posOffset>
            </wp:positionV>
            <wp:extent cx="1486535" cy="1257300"/>
            <wp:effectExtent l="0" t="0" r="0" b="0"/>
            <wp:wrapSquare wrapText="bothSides"/>
            <wp:docPr id="34" name="Рисунок 34" descr="Описание: 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128 ДТП (156; -18%), в которых пострадали 133 (154; -13,6%) ребенка и 2 погибли (6; -66,7%). Доля ДТП с участием дете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 составила 40% от общего показателя аварийности с участием несовершеннолетних.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7% (75) увеличилось количество ДТП по собственной неосторожности несовершеннолетних пешеходов, в этих авариях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пострадали 75 детей +10%) и 1 погиб (-66,7%).</w:t>
      </w:r>
      <w:proofErr w:type="gramEnd"/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(44 ДТП) совершен на пешеходном переходе. В этих происшествиях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юных пешеходов (-27,8%). 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происшествий с детьми-пешеходами в темное время суток уменьшилось на 11,5% (23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(77; 60%) стали дети-пешеходы в возрасте 10-15 лет, в этих авариях травмированы 79 детей и 1 погиб. Все наезды произошли в городах и населенных пунктах. Наибольшее количество наездов на детей-пешеходов зарегистрировано в среду (27 ДТП, 27 ранены и 1 погиб). Помимо этого,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 ДТП с юными пешеходами зарегистрированы в четверг, в этих авариях пострадали 26 детей. Наименьшее количество аварий с участием детей-пешеходов зафиксировано в субботу: 5 ДТП, 5 ранены. По времени совершения, самым опасным является временной промежуток с 13 до 22 часов, в это время произошло 80% происшествий (101 ДТП, 106 ранены, 2 погибли) с участием детей-пешеходов, при этом максимальные значения зафиксированы в период с 16 до 19 часов (51 ДТП, 51 ранены, 2 погибли). В период с 00 до 07.00 дорожных аварий с детьми-пешеходами не зарегистрировано.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23 случаях ДТП (20%) произошли на маршрутах следования детей из дома в образовательную организацию и обратно. Из них в 12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48 случаях ДТП (40%) произошли вблизи образовательных организаций.</w:t>
      </w:r>
    </w:p>
    <w:p w:rsidR="009D285C" w:rsidRDefault="009D285C" w:rsidP="009D28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84950" cy="2059305"/>
            <wp:effectExtent l="0" t="0" r="25400" b="1714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Высокие показатели количества ДТП зафиксированы с апреля по ноябрь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(101 ДТП; 79%), при этом наибольшее количество ДТП произошли в октябре (17),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мае (16) и июле (13). В большей степени это связано со снижением концентрации внимания в период возвращения детей домой после длительного нахождения за городом, усталостью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наездов на детей совершили водители с опытом вождения более 15 лет (29 ДТП, 31 ранен и 1 погиб). Основным нарушением ПДД РФ в 16 случаях стало несоответствие скорости конкретным условиям (15 ранены,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погибли). 4 ДТП произошли по вине водителей, находящихся в состоянии опьянения, в этих авариях травмированы 4 юных пешехода.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35 ДТП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(30; +16,7%), в результате которых пострадали 34 ребенка (30; +13,3%) и 1 погиб (+100%).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(5) отмечается рост количества </w: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459105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33" name="Рисунок 33" descr="Описание: 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юных велосипедистов в возрасте 4-6 лет. 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мототранспорта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10 ДТП (4; +150%), в результате которых пострадали 10 несовершеннолетних (3; +233,3%). Во всех случаях права управления мототранспортом дети не имели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188595</wp:posOffset>
            </wp:positionV>
            <wp:extent cx="5815330" cy="2060575"/>
            <wp:effectExtent l="0" t="0" r="13970" b="15875"/>
            <wp:wrapTight wrapText="bothSides">
              <wp:wrapPolygon edited="0">
                <wp:start x="0" y="0"/>
                <wp:lineTo x="0" y="21567"/>
                <wp:lineTo x="21581" y="21567"/>
                <wp:lineTo x="21581" y="0"/>
                <wp:lineTo x="0" y="0"/>
              </wp:wrapPolygon>
            </wp:wrapTight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9D285C" w:rsidRDefault="009D285C" w:rsidP="009D285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несовершеннолетних усматривается в 108 ДТП из 318 и составляет 34% от общего количества дорожных аварий с участием детей.  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(20), переход проезжей части в неустановленном месте, в зоне видимости пешеходного перехода, перекрестка (31), неподчинение сигналам регулирования (17);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спешившись (11), управление при движении по проезжей части лицом моложе 14 лет (9).</w:t>
      </w:r>
    </w:p>
    <w:p w:rsidR="009D285C" w:rsidRDefault="009D285C" w:rsidP="009D285C">
      <w:pPr>
        <w:pStyle w:val="a3"/>
        <w:spacing w:line="276" w:lineRule="auto"/>
      </w:pPr>
      <w:r>
        <w:t xml:space="preserve">         </w:t>
      </w:r>
    </w:p>
    <w:p w:rsidR="009D285C" w:rsidRDefault="009D285C" w:rsidP="009D285C">
      <w:pPr>
        <w:spacing w:line="276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На территории г. Ирбита и Ирбитского района зарегистрировано 1 ДТП с участием ребенка (АППГ-2, -50%). </w:t>
      </w:r>
    </w:p>
    <w:p w:rsidR="009D285C" w:rsidRDefault="009D285C" w:rsidP="009D285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063490" cy="1844040"/>
            <wp:effectExtent l="0" t="0" r="381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D285C" w:rsidRDefault="009D285C" w:rsidP="009D285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01.11.2022 года в 16 час. 10 мин. в городе Ирбите на перекрестке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рджоникидзе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произошло столкновение двух автомобилей. По предварительным данным водитель автомобиля ВАЗ-21102 женщина 1980 г.р., при совершении поворота налево допустила столкновение с автомобилем, который стоял на второстепенной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полосе, предназначенной для встречного движения. В результате ДТП несовершеннолетний пассажир получил телесные повреждения.  </w:t>
      </w:r>
    </w:p>
    <w:p w:rsidR="009D285C" w:rsidRDefault="009D285C" w:rsidP="009D285C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пассажир Мосин Никита Константинович, 23</w:t>
      </w:r>
      <w:r>
        <w:rPr>
          <w:rFonts w:ascii="Times New Roman" w:hAnsi="Times New Roman" w:cs="Times New Roman"/>
          <w:sz w:val="28"/>
          <w:szCs w:val="24"/>
        </w:rPr>
        <w:t xml:space="preserve">.04.2014 г.р. (полных 8 лет), зарегистрирован по адресу: Ирбитский район, п. Зайково, ул. Мира 1б, учащийся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Зайковской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СОШ №2, 1а класс, доставлен в ГАУЗ СО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ЦГБ» д/з: растяжение заднего связочного комплекса поясничного отдела позвоночника, госпитализирован.</w:t>
      </w:r>
    </w:p>
    <w:p w:rsidR="009D285C" w:rsidRDefault="009D285C" w:rsidP="009D285C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Мосин Никита Константинович</w:t>
      </w:r>
      <w:r>
        <w:rPr>
          <w:rFonts w:ascii="Times New Roman" w:hAnsi="Times New Roman" w:cs="Times New Roman"/>
          <w:sz w:val="28"/>
          <w:szCs w:val="24"/>
        </w:rPr>
        <w:t xml:space="preserve">, 23.04.2014 г.р., (8 лет) проживает в полной благополучной семье по адресу: Ирбитский район </w:t>
      </w:r>
      <w:proofErr w:type="spellStart"/>
      <w:r>
        <w:rPr>
          <w:rFonts w:ascii="Times New Roman" w:hAnsi="Times New Roman" w:cs="Times New Roman"/>
          <w:sz w:val="28"/>
          <w:szCs w:val="24"/>
        </w:rPr>
        <w:t>п</w:t>
      </w:r>
      <w:proofErr w:type="gramStart"/>
      <w:r>
        <w:rPr>
          <w:rFonts w:ascii="Times New Roman" w:hAnsi="Times New Roman" w:cs="Times New Roman"/>
          <w:sz w:val="28"/>
          <w:szCs w:val="24"/>
        </w:rPr>
        <w:t>.З</w:t>
      </w:r>
      <w:proofErr w:type="gramEnd"/>
      <w:r>
        <w:rPr>
          <w:rFonts w:ascii="Times New Roman" w:hAnsi="Times New Roman" w:cs="Times New Roman"/>
          <w:sz w:val="28"/>
          <w:szCs w:val="24"/>
        </w:rPr>
        <w:t>айково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ул. Мира, 1б, учащийся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Зайковской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СОШ №2, 1а класс. В момент ДТП находился на заднем пассажирском сиденье слева, был пристегнут штатными ремнями безопасности. </w:t>
      </w:r>
      <w:bookmarkStart w:id="0" w:name="_GoBack"/>
      <w:bookmarkEnd w:id="0"/>
    </w:p>
    <w:p w:rsidR="006737E6" w:rsidRPr="009D285C" w:rsidRDefault="006737E6" w:rsidP="009D285C"/>
    <w:sectPr w:rsidR="006737E6" w:rsidRPr="009D285C" w:rsidSect="009D28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5C"/>
    <w:rsid w:val="0001311A"/>
    <w:rsid w:val="00121443"/>
    <w:rsid w:val="0016475B"/>
    <w:rsid w:val="00165BB6"/>
    <w:rsid w:val="00171579"/>
    <w:rsid w:val="001A24A4"/>
    <w:rsid w:val="001C3BD5"/>
    <w:rsid w:val="001C52E8"/>
    <w:rsid w:val="002650FF"/>
    <w:rsid w:val="002B4E4C"/>
    <w:rsid w:val="00385549"/>
    <w:rsid w:val="004A1D97"/>
    <w:rsid w:val="004C392A"/>
    <w:rsid w:val="005650BC"/>
    <w:rsid w:val="006737E6"/>
    <w:rsid w:val="006827A4"/>
    <w:rsid w:val="007952C1"/>
    <w:rsid w:val="007F06BF"/>
    <w:rsid w:val="007F3D5D"/>
    <w:rsid w:val="00866171"/>
    <w:rsid w:val="00867701"/>
    <w:rsid w:val="008A1CDF"/>
    <w:rsid w:val="00923FA9"/>
    <w:rsid w:val="00976A7F"/>
    <w:rsid w:val="009C52F2"/>
    <w:rsid w:val="009D285C"/>
    <w:rsid w:val="00A12D2D"/>
    <w:rsid w:val="00A74576"/>
    <w:rsid w:val="00A833BD"/>
    <w:rsid w:val="00AC323F"/>
    <w:rsid w:val="00AC636F"/>
    <w:rsid w:val="00AE6D07"/>
    <w:rsid w:val="00B45175"/>
    <w:rsid w:val="00CA12CD"/>
    <w:rsid w:val="00CF1CD9"/>
    <w:rsid w:val="00D251EB"/>
    <w:rsid w:val="00D674D7"/>
    <w:rsid w:val="00E83CA4"/>
    <w:rsid w:val="00EB2B05"/>
    <w:rsid w:val="00F07F8E"/>
    <w:rsid w:val="00F61D35"/>
    <w:rsid w:val="00FA56A5"/>
    <w:rsid w:val="00FD04B8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5C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8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D285C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5C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8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D285C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2.xml"/><Relationship Id="rId2" Type="http://schemas.microsoft.com/office/2007/relationships/stylesWithEffects" Target="stylesWithEffects.xml"/><Relationship Id="rId16" Type="http://schemas.openxmlformats.org/officeDocument/2006/relationships/chart" Target="charts/chart11.xm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</c:v>
                </c:pt>
                <c:pt idx="1">
                  <c:v>23</c:v>
                </c:pt>
                <c:pt idx="2">
                  <c:v>363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318</c:v>
                </c:pt>
                <c:pt idx="1">
                  <c:v>13</c:v>
                </c:pt>
                <c:pt idx="2">
                  <c:v>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092736"/>
        <c:axId val="223094272"/>
        <c:axId val="0"/>
      </c:bar3DChart>
      <c:catAx>
        <c:axId val="22309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094272"/>
        <c:crosses val="autoZero"/>
        <c:auto val="1"/>
        <c:lblAlgn val="ctr"/>
        <c:lblOffset val="100"/>
        <c:noMultiLvlLbl val="0"/>
      </c:catAx>
      <c:valAx>
        <c:axId val="22309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09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32</c:v>
                </c:pt>
                <c:pt idx="2">
                  <c:v>64</c:v>
                </c:pt>
                <c:pt idx="3">
                  <c:v>227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7769472"/>
        <c:axId val="237771008"/>
      </c:barChart>
      <c:catAx>
        <c:axId val="237769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771008"/>
        <c:crosses val="autoZero"/>
        <c:auto val="1"/>
        <c:lblAlgn val="ctr"/>
        <c:lblOffset val="100"/>
        <c:noMultiLvlLbl val="0"/>
      </c:catAx>
      <c:valAx>
        <c:axId val="237771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76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</a:t>
            </a:r>
            <a:r>
              <a:rPr lang="ru-RU" baseline="0"/>
              <a:t> с участием детей-пассажиров по месяцам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Лист1!$C$16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Лист1!$C$17:$C$28</c:f>
              <c:numCache>
                <c:formatCode>General</c:formatCode>
                <c:ptCount val="12"/>
                <c:pt idx="0">
                  <c:v>14</c:v>
                </c:pt>
                <c:pt idx="1">
                  <c:v>5</c:v>
                </c:pt>
                <c:pt idx="2">
                  <c:v>17</c:v>
                </c:pt>
                <c:pt idx="3">
                  <c:v>6</c:v>
                </c:pt>
                <c:pt idx="4">
                  <c:v>9</c:v>
                </c:pt>
                <c:pt idx="5">
                  <c:v>9</c:v>
                </c:pt>
                <c:pt idx="6">
                  <c:v>17</c:v>
                </c:pt>
                <c:pt idx="7">
                  <c:v>23</c:v>
                </c:pt>
                <c:pt idx="8">
                  <c:v>11</c:v>
                </c:pt>
                <c:pt idx="9">
                  <c:v>9</c:v>
                </c:pt>
                <c:pt idx="10">
                  <c:v>16</c:v>
                </c:pt>
                <c:pt idx="1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Лист1!$D$16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Лист1!$D$17:$D$28</c:f>
              <c:numCache>
                <c:formatCode>General</c:formatCode>
                <c:ptCount val="12"/>
                <c:pt idx="0">
                  <c:v>22</c:v>
                </c:pt>
                <c:pt idx="1">
                  <c:v>7</c:v>
                </c:pt>
                <c:pt idx="2">
                  <c:v>21</c:v>
                </c:pt>
                <c:pt idx="3">
                  <c:v>9</c:v>
                </c:pt>
                <c:pt idx="4">
                  <c:v>10</c:v>
                </c:pt>
                <c:pt idx="5">
                  <c:v>9</c:v>
                </c:pt>
                <c:pt idx="6">
                  <c:v>21</c:v>
                </c:pt>
                <c:pt idx="7">
                  <c:v>25</c:v>
                </c:pt>
                <c:pt idx="8">
                  <c:v>14</c:v>
                </c:pt>
                <c:pt idx="9">
                  <c:v>9</c:v>
                </c:pt>
                <c:pt idx="10">
                  <c:v>15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999232"/>
        <c:axId val="238000768"/>
      </c:barChart>
      <c:lineChart>
        <c:grouping val="standard"/>
        <c:varyColors val="0"/>
        <c:ser>
          <c:idx val="2"/>
          <c:order val="2"/>
          <c:tx>
            <c:strRef>
              <c:f>Лист1!$E$16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Лист1!$E$17:$E$28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999232"/>
        <c:axId val="238000768"/>
      </c:lineChart>
      <c:catAx>
        <c:axId val="23799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000768"/>
        <c:crosses val="autoZero"/>
        <c:auto val="1"/>
        <c:lblAlgn val="ctr"/>
        <c:lblOffset val="100"/>
        <c:noMultiLvlLbl val="0"/>
      </c:catAx>
      <c:valAx>
        <c:axId val="23800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99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детей-пешеходов по месяцам</a:t>
            </a:r>
          </a:p>
        </c:rich>
      </c:tx>
      <c:layout>
        <c:manualLayout>
          <c:xMode val="edge"/>
          <c:yMode val="edge"/>
          <c:x val="0.32612489063867017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Лист1!$C$33:$C$44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13</c:v>
                </c:pt>
                <c:pt idx="7">
                  <c:v>11</c:v>
                </c:pt>
                <c:pt idx="8">
                  <c:v>10</c:v>
                </c:pt>
                <c:pt idx="9">
                  <c:v>17</c:v>
                </c:pt>
                <c:pt idx="10">
                  <c:v>12</c:v>
                </c:pt>
                <c:pt idx="1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Лист1!$D$32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Лист1!$D$33:$D$44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15</c:v>
                </c:pt>
                <c:pt idx="7">
                  <c:v>12</c:v>
                </c:pt>
                <c:pt idx="8">
                  <c:v>10</c:v>
                </c:pt>
                <c:pt idx="9">
                  <c:v>19</c:v>
                </c:pt>
                <c:pt idx="10">
                  <c:v>12</c:v>
                </c:pt>
                <c:pt idx="1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756800"/>
        <c:axId val="261758336"/>
      </c:barChart>
      <c:lineChart>
        <c:grouping val="standard"/>
        <c:varyColors val="0"/>
        <c:ser>
          <c:idx val="2"/>
          <c:order val="2"/>
          <c:tx>
            <c:strRef>
              <c:f>Лист1!$E$32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Лист1!$E$33:$E$44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1756800"/>
        <c:axId val="261758336"/>
      </c:lineChart>
      <c:catAx>
        <c:axId val="26175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758336"/>
        <c:crosses val="autoZero"/>
        <c:auto val="1"/>
        <c:lblAlgn val="ctr"/>
        <c:lblOffset val="100"/>
        <c:noMultiLvlLbl val="0"/>
      </c:catAx>
      <c:valAx>
        <c:axId val="26175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75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772524124139648E-2"/>
          <c:y val="0.28240297869743025"/>
          <c:w val="0.8268337147511734"/>
          <c:h val="0.596992492217542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145</c:v>
                </c:pt>
                <c:pt idx="1">
                  <c:v>128</c:v>
                </c:pt>
                <c:pt idx="2">
                  <c:v>35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723153555866016E-2"/>
          <c:y val="9.9547403101268236E-2"/>
          <c:w val="0.75538461538461543"/>
          <c:h val="0.52941176470588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 с детьми</c:v>
                </c:pt>
              </c:strCache>
            </c:strRef>
          </c:tx>
          <c:spPr>
            <a:solidFill>
              <a:srgbClr val="9999FF"/>
            </a:solidFill>
            <a:ln w="33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16</c:v>
                </c:pt>
                <c:pt idx="1">
                  <c:v>17</c:v>
                </c:pt>
                <c:pt idx="2">
                  <c:v>10</c:v>
                </c:pt>
                <c:pt idx="3">
                  <c:v>8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7</c:v>
                </c:pt>
                <c:pt idx="8">
                  <c:v>6</c:v>
                </c:pt>
                <c:pt idx="9">
                  <c:v>9</c:v>
                </c:pt>
                <c:pt idx="10">
                  <c:v>7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33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FFCC"/>
            </a:solidFill>
            <a:ln w="33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6663">
                  <a:noFill/>
                </a:ln>
              </c:spPr>
              <c:txPr>
                <a:bodyPr/>
                <a:lstStyle/>
                <a:p>
                  <a:pPr>
                    <a:defRPr sz="25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Sheet1!$B$4:$P$4</c:f>
              <c:numCache>
                <c:formatCode>General</c:formatCode>
                <c:ptCount val="15"/>
                <c:pt idx="0">
                  <c:v>14</c:v>
                </c:pt>
                <c:pt idx="1">
                  <c:v>17</c:v>
                </c:pt>
                <c:pt idx="2">
                  <c:v>11</c:v>
                </c:pt>
                <c:pt idx="3">
                  <c:v>7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8</c:v>
                </c:pt>
                <c:pt idx="8">
                  <c:v>7</c:v>
                </c:pt>
                <c:pt idx="9">
                  <c:v>9</c:v>
                </c:pt>
                <c:pt idx="10">
                  <c:v>8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819392"/>
        <c:axId val="261825280"/>
      </c:barChart>
      <c:catAx>
        <c:axId val="26181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83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2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1825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1825280"/>
        <c:scaling>
          <c:orientation val="minMax"/>
        </c:scaling>
        <c:delete val="0"/>
        <c:axPos val="l"/>
        <c:majorGridlines>
          <c:spPr>
            <a:ln w="83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8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1819392"/>
        <c:crosses val="autoZero"/>
        <c:crossBetween val="between"/>
      </c:valAx>
      <c:spPr>
        <a:solidFill>
          <a:srgbClr val="C0C0C0"/>
        </a:solidFill>
        <a:ln w="33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69221738656462"/>
          <c:y val="0.21719423480369451"/>
          <c:w val="0.16615363974071928"/>
          <c:h val="0.28959231307159272"/>
        </c:manualLayout>
      </c:layout>
      <c:overlay val="0"/>
      <c:spPr>
        <a:noFill/>
        <a:ln w="833">
          <a:solidFill>
            <a:srgbClr val="000000"/>
          </a:solidFill>
          <a:prstDash val="solid"/>
        </a:ln>
      </c:spPr>
      <c:txPr>
        <a:bodyPr/>
        <a:lstStyle/>
        <a:p>
          <a:pPr>
            <a:defRPr sz="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6</c:v>
                </c:pt>
                <c:pt idx="8">
                  <c:v>17</c:v>
                </c:pt>
                <c:pt idx="9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7</c:v>
                </c:pt>
                <c:pt idx="7">
                  <c:v>12</c:v>
                </c:pt>
                <c:pt idx="8">
                  <c:v>22</c:v>
                </c:pt>
                <c:pt idx="9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3146368"/>
        <c:axId val="223132288"/>
      </c:barChart>
      <c:valAx>
        <c:axId val="223132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146368"/>
        <c:crosses val="autoZero"/>
        <c:crossBetween val="between"/>
      </c:valAx>
      <c:catAx>
        <c:axId val="223146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1322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118</c:v>
                </c:pt>
                <c:pt idx="2">
                  <c:v>177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219</c:v>
                </c:pt>
                <c:pt idx="1">
                  <c:v>147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206</c:v>
                </c:pt>
                <c:pt idx="1">
                  <c:v>83</c:v>
                </c:pt>
                <c:pt idx="2">
                  <c:v>22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224</c:v>
                </c:pt>
                <c:pt idx="1">
                  <c:v>96</c:v>
                </c:pt>
                <c:pt idx="2">
                  <c:v>26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1758848"/>
        <c:axId val="231776640"/>
      </c:barChart>
      <c:catAx>
        <c:axId val="23175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776640"/>
        <c:crosses val="autoZero"/>
        <c:auto val="1"/>
        <c:lblAlgn val="ctr"/>
        <c:lblOffset val="100"/>
        <c:noMultiLvlLbl val="0"/>
      </c:catAx>
      <c:valAx>
        <c:axId val="23177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75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месяцам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</c:v>
                </c:pt>
                <c:pt idx="1">
                  <c:v>10</c:v>
                </c:pt>
                <c:pt idx="2">
                  <c:v>25</c:v>
                </c:pt>
                <c:pt idx="3">
                  <c:v>19</c:v>
                </c:pt>
                <c:pt idx="4">
                  <c:v>33</c:v>
                </c:pt>
                <c:pt idx="5">
                  <c:v>26</c:v>
                </c:pt>
                <c:pt idx="6">
                  <c:v>42</c:v>
                </c:pt>
                <c:pt idx="7">
                  <c:v>43</c:v>
                </c:pt>
                <c:pt idx="8">
                  <c:v>26</c:v>
                </c:pt>
                <c:pt idx="9">
                  <c:v>29</c:v>
                </c:pt>
                <c:pt idx="10">
                  <c:v>28</c:v>
                </c:pt>
                <c:pt idx="1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28</c:v>
                </c:pt>
                <c:pt idx="1">
                  <c:v>12</c:v>
                </c:pt>
                <c:pt idx="2">
                  <c:v>28</c:v>
                </c:pt>
                <c:pt idx="3">
                  <c:v>21</c:v>
                </c:pt>
                <c:pt idx="4">
                  <c:v>34</c:v>
                </c:pt>
                <c:pt idx="5">
                  <c:v>27</c:v>
                </c:pt>
                <c:pt idx="6">
                  <c:v>50</c:v>
                </c:pt>
                <c:pt idx="7">
                  <c:v>47</c:v>
                </c:pt>
                <c:pt idx="8">
                  <c:v>28</c:v>
                </c:pt>
                <c:pt idx="9">
                  <c:v>31</c:v>
                </c:pt>
                <c:pt idx="10">
                  <c:v>27</c:v>
                </c:pt>
                <c:pt idx="1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194624"/>
        <c:axId val="237204608"/>
      </c:barChart>
      <c:lineChart>
        <c:grouping val="standard"/>
        <c:varyColors val="0"/>
        <c:ser>
          <c:idx val="2"/>
          <c:order val="2"/>
          <c:tx>
            <c:strRef>
              <c:f>Лист1!$E$1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194624"/>
        <c:axId val="237204608"/>
      </c:lineChart>
      <c:catAx>
        <c:axId val="23719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204608"/>
        <c:crosses val="autoZero"/>
        <c:auto val="1"/>
        <c:lblAlgn val="ctr"/>
        <c:lblOffset val="100"/>
        <c:noMultiLvlLbl val="0"/>
      </c:catAx>
      <c:valAx>
        <c:axId val="23720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19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21</c:v>
                </c:pt>
                <c:pt idx="2">
                  <c:v>32</c:v>
                </c:pt>
                <c:pt idx="3">
                  <c:v>58</c:v>
                </c:pt>
                <c:pt idx="4">
                  <c:v>95</c:v>
                </c:pt>
                <c:pt idx="5">
                  <c:v>78</c:v>
                </c:pt>
                <c:pt idx="6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22</c:v>
                </c:pt>
                <c:pt idx="2">
                  <c:v>37</c:v>
                </c:pt>
                <c:pt idx="3">
                  <c:v>61</c:v>
                </c:pt>
                <c:pt idx="4">
                  <c:v>104</c:v>
                </c:pt>
                <c:pt idx="5">
                  <c:v>89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7883392"/>
        <c:axId val="237884928"/>
      </c:barChart>
      <c:catAx>
        <c:axId val="23788339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884928"/>
        <c:crosses val="autoZero"/>
        <c:auto val="1"/>
        <c:lblAlgn val="ctr"/>
        <c:lblOffset val="100"/>
        <c:tickLblSkip val="1"/>
        <c:noMultiLvlLbl val="0"/>
      </c:catAx>
      <c:valAx>
        <c:axId val="23788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88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</c:v>
                </c:pt>
                <c:pt idx="1">
                  <c:v>46</c:v>
                </c:pt>
                <c:pt idx="2">
                  <c:v>51</c:v>
                </c:pt>
                <c:pt idx="3">
                  <c:v>57</c:v>
                </c:pt>
                <c:pt idx="4">
                  <c:v>48</c:v>
                </c:pt>
                <c:pt idx="5">
                  <c:v>34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47</c:v>
                </c:pt>
                <c:pt idx="1">
                  <c:v>47</c:v>
                </c:pt>
                <c:pt idx="2">
                  <c:v>58</c:v>
                </c:pt>
                <c:pt idx="3">
                  <c:v>62</c:v>
                </c:pt>
                <c:pt idx="4">
                  <c:v>51</c:v>
                </c:pt>
                <c:pt idx="5">
                  <c:v>40</c:v>
                </c:pt>
                <c:pt idx="6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37547904"/>
        <c:axId val="237549440"/>
      </c:barChart>
      <c:catAx>
        <c:axId val="23754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549440"/>
        <c:crosses val="autoZero"/>
        <c:auto val="1"/>
        <c:lblAlgn val="ctr"/>
        <c:lblOffset val="100"/>
        <c:noMultiLvlLbl val="0"/>
      </c:catAx>
      <c:valAx>
        <c:axId val="23754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54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3459722763413119E-3"/>
                  <c:y val="-7.07410992230622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122</c:v>
                </c:pt>
                <c:pt idx="1">
                  <c:v>125</c:v>
                </c:pt>
                <c:pt idx="2">
                  <c:v>2</c:v>
                </c:pt>
                <c:pt idx="3">
                  <c:v>12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3316</Words>
  <Characters>18903</Characters>
  <Application>Microsoft Office Word</Application>
  <DocSecurity>0</DocSecurity>
  <Lines>157</Lines>
  <Paragraphs>44</Paragraphs>
  <ScaleCrop>false</ScaleCrop>
  <Company/>
  <LinksUpToDate>false</LinksUpToDate>
  <CharactersWithSpaces>22175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</dc:creator>
  <cp:lastModifiedBy>Мурашкин</cp:lastModifiedBy>
  <cp:revision>1</cp:revision>
  <dcterms:created xsi:type="dcterms:W3CDTF">2023-01-26T10:19:00Z</dcterms:created>
  <dcterms:modified xsi:type="dcterms:W3CDTF">2023-01-26T10:23:00Z</dcterms:modified>
</cp:coreProperties>
</file>